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76A0" w14:textId="77777777" w:rsidR="002B2216" w:rsidRPr="002B2216" w:rsidRDefault="002B2216" w:rsidP="002B2216">
      <w:pPr>
        <w:jc w:val="center"/>
        <w:rPr>
          <w:rFonts w:ascii="Cambria" w:hAnsi="Cambria"/>
          <w:b/>
        </w:rPr>
      </w:pPr>
      <w:r w:rsidRPr="002B2216">
        <w:rPr>
          <w:rFonts w:ascii="Cambria" w:hAnsi="Cambria"/>
          <w:b/>
        </w:rPr>
        <w:t>KARTIČKY – TERMINOLOGIE: EVROPSKÁ INTEGRACE</w:t>
      </w:r>
    </w:p>
    <w:p w14:paraId="2D10C9CB" w14:textId="77777777" w:rsidR="002B2216" w:rsidRPr="002B2216" w:rsidRDefault="002B2216" w:rsidP="002B2216">
      <w:pPr>
        <w:jc w:val="both"/>
        <w:rPr>
          <w:rFonts w:ascii="Cambria" w:hAnsi="Cambria"/>
        </w:rPr>
      </w:pPr>
      <w:r w:rsidRPr="002B2216">
        <w:rPr>
          <w:rFonts w:ascii="Cambria" w:hAnsi="Cambria"/>
        </w:rPr>
        <w:t xml:space="preserve">Tyto kartičky s pojmy a definicemi jsou určené k rozstříhání – žáci dostanou za úkol přiřadit definice ke správným pojmům. Taková aktivita může být využita v úvodu výuky o daném tématu (v takovém případě může učiteli posloužit k hodnocení dosavadních znalostí žáků), ale i v rámci opakování. Kartičky jsou rozdělené na základní a pokročilou sadu, samozřejmě je ale možné sady libovolně míchat i spojovat (podle obsahu výuky).  Kartičky lze také využít bez spojování – žáci musí k pojmu definici sami vymyslet, nebo naopak dostanou pouze kartičky s definicemi a mají vymyslet, který pojem dané definici odpovídá.  Při kontrole je dobré si definice vyjasňovat a uvádět příklady. </w:t>
      </w:r>
    </w:p>
    <w:p w14:paraId="781A3946" w14:textId="77777777" w:rsidR="002B2216" w:rsidRPr="002B2216" w:rsidRDefault="002B2216" w:rsidP="002B2216">
      <w:pPr>
        <w:jc w:val="center"/>
        <w:rPr>
          <w:rFonts w:ascii="Cambria" w:hAnsi="Cambria"/>
          <w:b/>
        </w:rPr>
      </w:pPr>
      <w:r w:rsidRPr="002B2216">
        <w:rPr>
          <w:rFonts w:ascii="Cambria" w:hAnsi="Cambria"/>
          <w:b/>
        </w:rPr>
        <w:t>Základní sada</w:t>
      </w:r>
    </w:p>
    <w:tbl>
      <w:tblPr>
        <w:tblW w:w="9060" w:type="dxa"/>
        <w:jc w:val="center"/>
        <w:tblLayout w:type="fixed"/>
        <w:tblLook w:val="0400" w:firstRow="0" w:lastRow="0" w:firstColumn="0" w:lastColumn="0" w:noHBand="0" w:noVBand="1"/>
      </w:tblPr>
      <w:tblGrid>
        <w:gridCol w:w="1680"/>
        <w:gridCol w:w="7380"/>
      </w:tblGrid>
      <w:tr w:rsidR="002B2216" w:rsidRPr="002B2216" w14:paraId="40BE6190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42C0A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schengenský prostor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A4DFB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Území některých členských či sousedních států Evropské unie, účastníků schengenské dohody platné od roku 1985, které se rozhodly odstranit hraniční kontroly na vnitřních hranicích a posílit kontrolu na vnějších hranicích a zavést právo volného pohybu pro všechny občany těchto států. </w:t>
            </w:r>
          </w:p>
        </w:tc>
      </w:tr>
      <w:tr w:rsidR="002B2216" w:rsidRPr="002B2216" w14:paraId="01D3A496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1A0CF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třetí země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31AB0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Stát, který není členem Evropské unie nebo jiného teritoria, na které se nevztahuje unijní právo volného pohybu. </w:t>
            </w:r>
          </w:p>
        </w:tc>
      </w:tr>
      <w:tr w:rsidR="002B2216" w:rsidRPr="002B2216" w14:paraId="69EA1206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DCF62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členská země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9A19E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Stát, který je členem Evropské unie. Za účelem dosažení společných cílů členské země přenechávají Evropské unii část své rozhodovací pravomoci, mají vůči ní své povinnosti, ale zároveň získávají mnoho výhod. </w:t>
            </w:r>
          </w:p>
        </w:tc>
      </w:tr>
      <w:tr w:rsidR="002B2216" w:rsidRPr="002B2216" w14:paraId="742F9E19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25209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kandidátská země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205A6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Země ucházející se o členství v Evropské unii. Zemi bude vstup umožněn až po splnění určitých podmínek pro vstup, tzv. kodaňských kritérií. </w:t>
            </w:r>
          </w:p>
        </w:tc>
      </w:tr>
      <w:tr w:rsidR="002B2216" w:rsidRPr="002B2216" w14:paraId="6DBCFE7E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11B64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přístupové jednání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C457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Jednání mezi vládami členských států a vládou kandidátské země o vstupu dané země do Evropské unie. Jeho cílem je především kontrola splnění veškerých podmínek pro vstup (tzv. kodaňských kritérií) a převzetí unijního právního řádu. </w:t>
            </w:r>
          </w:p>
        </w:tc>
      </w:tr>
      <w:tr w:rsidR="002B2216" w:rsidRPr="002B2216" w14:paraId="15E44D2E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C0D28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Evropský hospodářský prostor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161DD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Prostor, v </w:t>
            </w:r>
            <w:proofErr w:type="gramStart"/>
            <w:r w:rsidRPr="002B2216">
              <w:rPr>
                <w:rFonts w:cstheme="minorHAnsi"/>
                <w:sz w:val="22"/>
                <w:szCs w:val="22"/>
              </w:rPr>
              <w:t>rámci</w:t>
            </w:r>
            <w:proofErr w:type="gramEnd"/>
            <w:r w:rsidRPr="002B2216">
              <w:rPr>
                <w:rFonts w:cstheme="minorHAnsi"/>
                <w:sz w:val="22"/>
                <w:szCs w:val="22"/>
              </w:rPr>
              <w:t xml:space="preserve"> kterého je zaručen volný pohyb zboží, služeb, kapitálu a osob. Zahrnuje území všech členských států Evropské unie a území Islandu, Lichtenštejnska a Norska. </w:t>
            </w:r>
          </w:p>
        </w:tc>
      </w:tr>
      <w:tr w:rsidR="002B2216" w:rsidRPr="002B2216" w14:paraId="7933D676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194C8" w14:textId="77777777" w:rsidR="002B2216" w:rsidRPr="002B2216" w:rsidRDefault="002B2216" w:rsidP="00405F23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Evropský parlament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5A9E8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zákonodárný orgán Evropské unie. Má funkci legislativní, dozorčí a rozpočtovou. Parlament je složen z 705 poslanců a předsedy. Každý členský stát je zastoupen poslanci v počtu úměrném počtu obyvatel dané země (s posílenou pozicí menších států). Česko zastupuje 21 poslanců. Poslanci jsou voleni přímo občany, a to každých 5 let. </w:t>
            </w:r>
          </w:p>
        </w:tc>
      </w:tr>
      <w:tr w:rsidR="002B2216" w:rsidRPr="002B2216" w14:paraId="2F898A19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75B03" w14:textId="77777777" w:rsidR="002B2216" w:rsidRPr="002B2216" w:rsidRDefault="002B2216" w:rsidP="00405F23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B2216">
              <w:rPr>
                <w:rFonts w:ascii="Cambria" w:hAnsi="Cambria" w:cstheme="minorHAnsi"/>
              </w:rPr>
              <w:t>Evropská komise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B5C88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politicky nezávislý, výkonný orgán EU. Předkládá návrhy nové evropské legislativy, prosazuje unijní právo a vymáhá jeho dodržování, navrhuje rozpočet a dohlíží na jeho plnění. Reprezentuje Evropskou unii v zahraničí a další. Je složen z kolegia komisařů, přičemž každý z nich zastupuje jeden členský stát. Sídlí v Bruselu. </w:t>
            </w:r>
          </w:p>
        </w:tc>
      </w:tr>
      <w:tr w:rsidR="002B2216" w:rsidRPr="002B2216" w14:paraId="187DD8F5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3BFDE" w14:textId="77777777" w:rsidR="002B2216" w:rsidRPr="002B2216" w:rsidRDefault="002B2216" w:rsidP="00405F23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B2216">
              <w:rPr>
                <w:rFonts w:ascii="Cambria" w:hAnsi="Cambria" w:cstheme="minorHAnsi"/>
              </w:rPr>
              <w:t>Rada Evropské unie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478DF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Spolu s Evropským parlamentem je hlavním rozhodovacím orgánem EU, společně schvalují právní předpisy a koordinují politiky jednotlivých zemí. Skládá se z ministrů vlád všech zemí Unie, kteří řeší problémy ve své gesci. Předsednictví se střídá mezi všemi zeměmi každých 6 měsíců. Sídlí v Bruselu. </w:t>
            </w:r>
          </w:p>
        </w:tc>
      </w:tr>
      <w:tr w:rsidR="002B2216" w:rsidRPr="002B2216" w14:paraId="395A9151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8EF98" w14:textId="77777777" w:rsidR="002B2216" w:rsidRPr="002B2216" w:rsidRDefault="002B2216" w:rsidP="00405F23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B2216">
              <w:rPr>
                <w:rFonts w:ascii="Cambria" w:hAnsi="Cambria" w:cstheme="minorHAnsi"/>
              </w:rPr>
              <w:lastRenderedPageBreak/>
              <w:t>euro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C63BA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oficiální měna Evropské unie, kterou v současnosti používá 19 ze 27 členských států. Bylo zavedeno v roce 2002 s cílem posílit jednotný trh a ekonomickou spolupráci členských států. </w:t>
            </w:r>
          </w:p>
        </w:tc>
      </w:tr>
      <w:tr w:rsidR="002B2216" w:rsidRPr="002B2216" w14:paraId="4899B181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5937C" w14:textId="77777777" w:rsidR="002B2216" w:rsidRPr="002B2216" w:rsidRDefault="002B2216" w:rsidP="00405F23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eurozóna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7EBB1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území států, jež přijaly euro jako svou oficiální měnu. </w:t>
            </w:r>
          </w:p>
        </w:tc>
      </w:tr>
    </w:tbl>
    <w:p w14:paraId="4B3B7149" w14:textId="77777777" w:rsidR="002B2216" w:rsidRPr="002B2216" w:rsidRDefault="002B2216" w:rsidP="002B2216">
      <w:pPr>
        <w:jc w:val="center"/>
        <w:rPr>
          <w:rFonts w:ascii="Cambria" w:hAnsi="Cambria"/>
          <w:b/>
        </w:rPr>
      </w:pPr>
    </w:p>
    <w:p w14:paraId="4275EC0A" w14:textId="77777777" w:rsidR="002B2216" w:rsidRPr="002B2216" w:rsidRDefault="002B2216" w:rsidP="002B2216">
      <w:pPr>
        <w:jc w:val="center"/>
        <w:rPr>
          <w:rFonts w:ascii="Cambria" w:hAnsi="Cambria"/>
          <w:b/>
        </w:rPr>
      </w:pPr>
      <w:r w:rsidRPr="002B2216">
        <w:rPr>
          <w:rFonts w:ascii="Cambria" w:hAnsi="Cambria"/>
          <w:b/>
        </w:rPr>
        <w:t>Pokročilá sada</w:t>
      </w:r>
    </w:p>
    <w:tbl>
      <w:tblPr>
        <w:tblW w:w="9060" w:type="dxa"/>
        <w:jc w:val="center"/>
        <w:tblLayout w:type="fixed"/>
        <w:tblLook w:val="0400" w:firstRow="0" w:lastRow="0" w:firstColumn="0" w:lastColumn="0" w:noHBand="0" w:noVBand="1"/>
      </w:tblPr>
      <w:tblGrid>
        <w:gridCol w:w="1680"/>
        <w:gridCol w:w="7380"/>
      </w:tblGrid>
      <w:tr w:rsidR="002B2216" w:rsidRPr="002B2216" w14:paraId="2B1756A7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1266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Evropské společenství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4C85D" w14:textId="6D7C1BD9" w:rsidR="002B2216" w:rsidRPr="002B2216" w:rsidRDefault="002B2216" w:rsidP="002B2216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nástupce Evropského hospodářského společenství a předchůdce Evropské unie. </w:t>
            </w:r>
          </w:p>
        </w:tc>
      </w:tr>
      <w:tr w:rsidR="002B2216" w:rsidRPr="002B2216" w14:paraId="01F6AABC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4075B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Maastrichtská smlouva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AFADC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nazývaná také Smlouva o Evropské unii. Vstoupila v platnost v roce 1993 a dala tak jméno Evropské unii (které nahradilo název Evropské společenství). Zavedla nový hospodářský a politický systém sestávající z tzv. tří pilířů. Systém tří pilířů zanikl spolu s ratifikací Lisabonské smlouvy. </w:t>
            </w:r>
          </w:p>
        </w:tc>
      </w:tr>
      <w:tr w:rsidR="002B2216" w:rsidRPr="002B2216" w14:paraId="60610058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0957B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Lisabonská smlouva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38FD1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Smlouva, která reformovala institucionální uspořádání EU a zrušila systém tzv. tří pilířů. Změnila princip jejího fungování tak, aby byl efektivnější, více transparentní a umožňoval větší zapojení občanů. Unie se díky této smlouvě stala samostatným politickým tělesem, které má vlastní politickou subjektivitu. V platnost vstoupila v roce 2009. </w:t>
            </w:r>
          </w:p>
        </w:tc>
      </w:tr>
      <w:tr w:rsidR="002B2216" w:rsidRPr="002B2216" w14:paraId="68A0C31A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70B63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2B2216">
              <w:rPr>
                <w:rFonts w:ascii="Cambria" w:eastAsia="Times New Roman" w:hAnsi="Cambria" w:cstheme="minorHAnsi"/>
              </w:rPr>
              <w:t>Eurostat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C7928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statistický úřad Evropské unie. Vytváří vlastní statistická data, sjednocuje národní statistiky a zpracovává rozličné analýzy a prognózy, které pravidelně publikuje. Poskytuje tak orgánům Evropské unie informace důležité pro jejich rozhodování. </w:t>
            </w:r>
          </w:p>
        </w:tc>
      </w:tr>
      <w:tr w:rsidR="002B2216" w:rsidRPr="002B2216" w14:paraId="77398AAC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B8E6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asociační dohoda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74471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Je bilaterální dohoda mezi Evropskou unií a třetí zemí. Definuje základní práva a povinnosti, které jsou předpokladem pro vzájemnou spolupráci. Je základním kamenem procesu vstupu nové členské země (např. Turecko), zároveň ale může být uzavřena i se státy, u nichž se vstup do Evropské unie nepředpokládá (např. některé africké země). </w:t>
            </w:r>
          </w:p>
        </w:tc>
      </w:tr>
      <w:tr w:rsidR="002B2216" w:rsidRPr="002B2216" w14:paraId="12AA312F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F0B3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kodaňská kritéria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40BEC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Jsou vstupní kritéria, které musí kandidátské země před vstupem do EU bezpodmínečně splnit. Jedná se o stabilní instituce zaručující demokratické principy, fungující a konkurenceschopné tržní hospodářství a schopnost plnit závazky vyplývající z členství, včetně podpory cílů Unie. </w:t>
            </w:r>
          </w:p>
        </w:tc>
      </w:tr>
      <w:tr w:rsidR="002B2216" w:rsidRPr="002B2216" w14:paraId="1FD595E0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D8063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referendum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3252A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Jsou vstupní kritéria, které musí kandidátské země před vstupem do EU bezpodmínečně splnit. Jedná se o stabilní instituce zaručující demokratické principy, fungující a konkurenceschopné tržní hospodářství a schopnost plnit závazky vyplývající z členství, včetně podpory cílů Unie. </w:t>
            </w:r>
          </w:p>
        </w:tc>
      </w:tr>
      <w:tr w:rsidR="002B2216" w:rsidRPr="002B2216" w14:paraId="2B52C17B" w14:textId="77777777" w:rsidTr="00405F23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36F24" w14:textId="77777777" w:rsidR="002B2216" w:rsidRPr="002B2216" w:rsidRDefault="002B2216" w:rsidP="00405F23">
            <w:pPr>
              <w:spacing w:after="0" w:line="240" w:lineRule="auto"/>
              <w:rPr>
                <w:rFonts w:ascii="Cambria" w:hAnsi="Cambria" w:cstheme="minorHAnsi"/>
              </w:rPr>
            </w:pPr>
            <w:r w:rsidRPr="002B2216">
              <w:rPr>
                <w:rFonts w:ascii="Cambria" w:eastAsia="Times New Roman" w:hAnsi="Cambria" w:cstheme="minorHAnsi"/>
              </w:rPr>
              <w:t>bilaterální dohoda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9DD5" w14:textId="77777777" w:rsidR="002B2216" w:rsidRPr="002B2216" w:rsidRDefault="002B2216" w:rsidP="00405F23">
            <w:pPr>
              <w:pStyle w:val="Default"/>
              <w:rPr>
                <w:rFonts w:cstheme="minorHAnsi"/>
              </w:rPr>
            </w:pPr>
            <w:r w:rsidRPr="002B2216">
              <w:rPr>
                <w:rFonts w:cstheme="minorHAnsi"/>
                <w:sz w:val="22"/>
                <w:szCs w:val="22"/>
              </w:rPr>
              <w:t xml:space="preserve">Dohoda, která určuje obchodní, politické či jiné vztahy mezi dvěma stranami, nejčastěji dvěma státy. Evropská unie může uzavírat bilaterální dohody se státy, ale i s mezinárodními organizacemi. </w:t>
            </w:r>
          </w:p>
        </w:tc>
      </w:tr>
    </w:tbl>
    <w:p w14:paraId="20D56201" w14:textId="77777777" w:rsidR="002B2216" w:rsidRPr="002B2216" w:rsidRDefault="002B2216" w:rsidP="002B2216">
      <w:pPr>
        <w:rPr>
          <w:rFonts w:ascii="Cambria" w:hAnsi="Cambria"/>
        </w:rPr>
      </w:pPr>
    </w:p>
    <w:sectPr w:rsidR="002B2216" w:rsidRPr="002B22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E75F" w14:textId="77777777" w:rsidR="006C1402" w:rsidRDefault="006C1402" w:rsidP="000D5BF2">
      <w:pPr>
        <w:spacing w:after="0" w:line="240" w:lineRule="auto"/>
      </w:pPr>
      <w:r>
        <w:separator/>
      </w:r>
    </w:p>
  </w:endnote>
  <w:endnote w:type="continuationSeparator" w:id="0">
    <w:p w14:paraId="7AAB746B" w14:textId="77777777" w:rsidR="006C1402" w:rsidRDefault="006C1402" w:rsidP="000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283" w14:textId="21193857" w:rsidR="00D750DD" w:rsidRPr="007A516B" w:rsidRDefault="00D750DD" w:rsidP="00D750DD">
    <w:pPr>
      <w:rPr>
        <w:rFonts w:ascii="Cambria" w:hAnsi="Cambria"/>
        <w:i/>
        <w:iCs/>
        <w:sz w:val="18"/>
        <w:szCs w:val="18"/>
      </w:rPr>
    </w:pPr>
    <w:r w:rsidRPr="007A516B">
      <w:rPr>
        <w:rFonts w:ascii="Cambria" w:hAnsi="Cambria"/>
        <w:i/>
        <w:iCs/>
        <w:sz w:val="18"/>
        <w:szCs w:val="18"/>
      </w:rPr>
      <w:t xml:space="preserve">Financováno z projektu TAČR „Aplikace poznatků současného výzkumu politické geografie ve výuce geografie a sociálně-vědních předmětů na středních školách“ (TL02000195). Více informací na </w:t>
    </w:r>
    <w:r w:rsidRPr="007A516B">
      <w:rPr>
        <w:rFonts w:ascii="Cambria" w:hAnsi="Cambria"/>
        <w:b/>
        <w:bCs/>
        <w:i/>
        <w:iCs/>
        <w:sz w:val="18"/>
        <w:szCs w:val="18"/>
      </w:rPr>
      <w:t>regpol.natur.cuni.cz</w:t>
    </w:r>
    <w:r w:rsidRPr="007A516B">
      <w:rPr>
        <w:rFonts w:ascii="Cambria" w:hAnsi="Cambria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E3A8" w14:textId="77777777" w:rsidR="006C1402" w:rsidRDefault="006C1402" w:rsidP="000D5BF2">
      <w:pPr>
        <w:spacing w:after="0" w:line="240" w:lineRule="auto"/>
      </w:pPr>
      <w:r>
        <w:separator/>
      </w:r>
    </w:p>
  </w:footnote>
  <w:footnote w:type="continuationSeparator" w:id="0">
    <w:p w14:paraId="2226D249" w14:textId="77777777" w:rsidR="006C1402" w:rsidRDefault="006C1402" w:rsidP="000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15D" w14:textId="56B1FA2D" w:rsidR="000D5BF2" w:rsidRDefault="00D750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FC047" wp14:editId="62CEDD50">
          <wp:simplePos x="0" y="0"/>
          <wp:positionH relativeFrom="margin">
            <wp:posOffset>5162550</wp:posOffset>
          </wp:positionH>
          <wp:positionV relativeFrom="paragraph">
            <wp:posOffset>-276860</wp:posOffset>
          </wp:positionV>
          <wp:extent cx="472440" cy="472440"/>
          <wp:effectExtent l="0" t="0" r="381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F2">
      <w:rPr>
        <w:noProof/>
      </w:rPr>
      <w:drawing>
        <wp:anchor distT="0" distB="0" distL="114300" distR="114300" simplePos="0" relativeHeight="251659264" behindDoc="0" locked="0" layoutInCell="1" allowOverlap="1" wp14:anchorId="6D133DB4" wp14:editId="059CE567">
          <wp:simplePos x="0" y="0"/>
          <wp:positionH relativeFrom="margin">
            <wp:posOffset>2598420</wp:posOffset>
          </wp:positionH>
          <wp:positionV relativeFrom="paragraph">
            <wp:posOffset>-449580</wp:posOffset>
          </wp:positionV>
          <wp:extent cx="1889760" cy="900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F2">
      <w:rPr>
        <w:noProof/>
      </w:rPr>
      <w:drawing>
        <wp:anchor distT="0" distB="0" distL="114300" distR="114300" simplePos="0" relativeHeight="251658240" behindDoc="0" locked="0" layoutInCell="1" allowOverlap="1" wp14:anchorId="5AB69828" wp14:editId="11F1F41C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1958340" cy="5156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F"/>
    <w:rsid w:val="0001349E"/>
    <w:rsid w:val="000D5BF2"/>
    <w:rsid w:val="001632C9"/>
    <w:rsid w:val="001E4C4B"/>
    <w:rsid w:val="002B2216"/>
    <w:rsid w:val="003504FE"/>
    <w:rsid w:val="003C7BBF"/>
    <w:rsid w:val="0040747F"/>
    <w:rsid w:val="004B2740"/>
    <w:rsid w:val="004E3581"/>
    <w:rsid w:val="004E77D6"/>
    <w:rsid w:val="00633F77"/>
    <w:rsid w:val="00693D1C"/>
    <w:rsid w:val="006C1402"/>
    <w:rsid w:val="007A516B"/>
    <w:rsid w:val="007C7BA8"/>
    <w:rsid w:val="007E34BC"/>
    <w:rsid w:val="00820DD7"/>
    <w:rsid w:val="00840D5B"/>
    <w:rsid w:val="008511E1"/>
    <w:rsid w:val="009C728F"/>
    <w:rsid w:val="00A633C0"/>
    <w:rsid w:val="00A857FC"/>
    <w:rsid w:val="00A9043D"/>
    <w:rsid w:val="00A967FF"/>
    <w:rsid w:val="00AB0D2B"/>
    <w:rsid w:val="00B24978"/>
    <w:rsid w:val="00B569A0"/>
    <w:rsid w:val="00BC1B57"/>
    <w:rsid w:val="00C5171C"/>
    <w:rsid w:val="00C95DCE"/>
    <w:rsid w:val="00CC3AB4"/>
    <w:rsid w:val="00D750DD"/>
    <w:rsid w:val="00E60827"/>
    <w:rsid w:val="00F5503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8E81"/>
  <w15:chartTrackingRefBased/>
  <w15:docId w15:val="{85243274-7B58-4774-BC8F-9A1E9DE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1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5BF2"/>
  </w:style>
  <w:style w:type="paragraph" w:styleId="Zpat">
    <w:name w:val="footer"/>
    <w:basedOn w:val="Normln"/>
    <w:link w:val="Zpat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5BF2"/>
  </w:style>
  <w:style w:type="table" w:styleId="Mkatabulky">
    <w:name w:val="Table Grid"/>
    <w:basedOn w:val="Normlntabulka"/>
    <w:uiPriority w:val="39"/>
    <w:rsid w:val="00B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49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3BDE"/>
    <w:rPr>
      <w:color w:val="954F72" w:themeColor="followedHyperlink"/>
      <w:u w:val="single"/>
    </w:rPr>
  </w:style>
  <w:style w:type="paragraph" w:customStyle="1" w:styleId="Default">
    <w:name w:val="Default"/>
    <w:rsid w:val="002B221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rec1</cp:lastModifiedBy>
  <cp:revision>3</cp:revision>
  <dcterms:created xsi:type="dcterms:W3CDTF">2021-10-19T13:53:00Z</dcterms:created>
  <dcterms:modified xsi:type="dcterms:W3CDTF">2021-10-19T14:31:00Z</dcterms:modified>
</cp:coreProperties>
</file>