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7132" w14:textId="77777777" w:rsidR="00541D21" w:rsidRPr="00541D21" w:rsidRDefault="00541D21" w:rsidP="00541D21">
      <w:pPr>
        <w:jc w:val="center"/>
        <w:rPr>
          <w:rFonts w:ascii="Cambria" w:hAnsi="Cambria"/>
          <w:b/>
        </w:rPr>
      </w:pPr>
      <w:r w:rsidRPr="00541D21">
        <w:rPr>
          <w:rFonts w:ascii="Cambria" w:hAnsi="Cambria"/>
          <w:b/>
        </w:rPr>
        <w:t>KARTIČKY – TERMINOLOGIE: NEROVNOMĚRNÝ EKONOMICKÝ A SOCIÁLNÍ ROZVOJ</w:t>
      </w:r>
    </w:p>
    <w:p w14:paraId="28C88AB2" w14:textId="77777777" w:rsidR="00541D21" w:rsidRPr="00541D21" w:rsidRDefault="00541D21" w:rsidP="00541D21">
      <w:pPr>
        <w:jc w:val="both"/>
        <w:rPr>
          <w:rFonts w:ascii="Cambria" w:hAnsi="Cambria"/>
        </w:rPr>
      </w:pPr>
      <w:r w:rsidRPr="00541D21">
        <w:rPr>
          <w:rFonts w:ascii="Cambria" w:hAnsi="Cambria"/>
        </w:rPr>
        <w:t xml:space="preserve">Tyto kartičky s pojmy a definicemi jsou určené k rozstříhání – žáci dostanou za úkol přiřadit definice ke správným pojmům. Taková aktivita může být využita v úvodu výuky o daném tématu (v takovém případě může učiteli posloužit k hodnocení dosavadních znalostí žáků), ale i v rámci opakování. Kartičky jsou rozdělené na základní a pokročilou sadu, samozřejmě je ale možné sady libovolně míchat i spojovat (podle obsahu výuky).  Kartičky lze také využít bez spojování – žáci musí k pojmu definici sami vymyslet, nebo naopak dostanou pouze kartičky s definicemi a mají vymyslet, který pojem dané definici odpovídá.  Při kontrole je dobré si definice vyjasňovat a uvádět příklady. </w:t>
      </w:r>
    </w:p>
    <w:p w14:paraId="307D8823" w14:textId="77777777" w:rsidR="00541D21" w:rsidRPr="00541D21" w:rsidRDefault="00541D21" w:rsidP="00541D21">
      <w:pPr>
        <w:jc w:val="center"/>
        <w:rPr>
          <w:rFonts w:ascii="Cambria" w:hAnsi="Cambria"/>
          <w:b/>
        </w:rPr>
      </w:pPr>
      <w:r w:rsidRPr="00541D21">
        <w:rPr>
          <w:rFonts w:ascii="Cambria" w:hAnsi="Cambria"/>
          <w:b/>
        </w:rPr>
        <w:t>Základní sada</w:t>
      </w:r>
    </w:p>
    <w:tbl>
      <w:tblPr>
        <w:tblW w:w="9060" w:type="dxa"/>
        <w:jc w:val="center"/>
        <w:tblLayout w:type="fixed"/>
        <w:tblLook w:val="0400" w:firstRow="0" w:lastRow="0" w:firstColumn="0" w:lastColumn="0" w:noHBand="0" w:noVBand="1"/>
      </w:tblPr>
      <w:tblGrid>
        <w:gridCol w:w="1680"/>
        <w:gridCol w:w="7380"/>
      </w:tblGrid>
      <w:tr w:rsidR="00541D21" w:rsidRPr="00541D21" w14:paraId="51D1F686" w14:textId="77777777" w:rsidTr="00592AF8">
        <w:trPr>
          <w:trHeight w:val="1134"/>
          <w:jc w:val="center"/>
        </w:trPr>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DC6667" w14:textId="77777777" w:rsidR="00541D21" w:rsidRPr="00541D21" w:rsidRDefault="00541D21" w:rsidP="00592AF8">
            <w:pPr>
              <w:spacing w:after="0" w:line="240" w:lineRule="auto"/>
              <w:rPr>
                <w:rFonts w:ascii="Cambria" w:hAnsi="Cambria"/>
              </w:rPr>
            </w:pPr>
            <w:r w:rsidRPr="00541D21">
              <w:rPr>
                <w:rFonts w:ascii="Cambria" w:hAnsi="Cambria"/>
              </w:rPr>
              <w:t xml:space="preserve"> jádro</w:t>
            </w:r>
          </w:p>
        </w:tc>
        <w:tc>
          <w:tcPr>
            <w:tcW w:w="73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4516664" w14:textId="77777777" w:rsidR="00541D21" w:rsidRPr="00541D21" w:rsidRDefault="00541D21" w:rsidP="00592AF8">
            <w:pPr>
              <w:spacing w:after="0" w:line="240" w:lineRule="auto"/>
              <w:ind w:left="120"/>
              <w:rPr>
                <w:rFonts w:ascii="Cambria" w:hAnsi="Cambria"/>
              </w:rPr>
            </w:pPr>
            <w:r w:rsidRPr="00541D21">
              <w:rPr>
                <w:rFonts w:ascii="Cambria" w:hAnsi="Cambria"/>
              </w:rPr>
              <w:t>Regiony na všech hierarchických úrovních s nejvyspělejšími ekonomikami, nejvyššími příjmy obyvatel, nejsilnějšími ekonomickými aktéry a s nejsilnější politickou mocí. Tyto oblasti jsou rozlohou menší, ale mohou ekonomicky i politicky ovládat ostatní rozsáhlejší území.</w:t>
            </w:r>
          </w:p>
        </w:tc>
      </w:tr>
      <w:tr w:rsidR="00541D21" w:rsidRPr="00541D21" w14:paraId="25020A45" w14:textId="77777777" w:rsidTr="00592AF8">
        <w:trPr>
          <w:trHeight w:val="1134"/>
          <w:jc w:val="center"/>
        </w:trPr>
        <w:tc>
          <w:tcPr>
            <w:tcW w:w="168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7EEB579B" w14:textId="77777777" w:rsidR="00541D21" w:rsidRPr="00541D21" w:rsidRDefault="00541D21" w:rsidP="00592AF8">
            <w:pPr>
              <w:spacing w:after="0" w:line="240" w:lineRule="auto"/>
              <w:rPr>
                <w:rFonts w:ascii="Cambria" w:hAnsi="Cambria"/>
              </w:rPr>
            </w:pPr>
            <w:r w:rsidRPr="00541D21">
              <w:rPr>
                <w:rFonts w:ascii="Cambria" w:hAnsi="Cambria"/>
              </w:rPr>
              <w:t>periferie</w:t>
            </w:r>
          </w:p>
        </w:tc>
        <w:tc>
          <w:tcPr>
            <w:tcW w:w="7380" w:type="dxa"/>
            <w:tcBorders>
              <w:top w:val="nil"/>
              <w:left w:val="nil"/>
              <w:bottom w:val="single" w:sz="4" w:space="0" w:color="000000"/>
              <w:right w:val="single" w:sz="4" w:space="0" w:color="000000"/>
            </w:tcBorders>
            <w:tcMar>
              <w:top w:w="0" w:type="dxa"/>
              <w:left w:w="70" w:type="dxa"/>
              <w:bottom w:w="0" w:type="dxa"/>
              <w:right w:w="70" w:type="dxa"/>
            </w:tcMar>
            <w:vAlign w:val="center"/>
          </w:tcPr>
          <w:p w14:paraId="258CC8DA" w14:textId="77777777" w:rsidR="00541D21" w:rsidRPr="00541D21" w:rsidRDefault="00541D21" w:rsidP="00592AF8">
            <w:pPr>
              <w:spacing w:after="0" w:line="240" w:lineRule="auto"/>
              <w:rPr>
                <w:rFonts w:ascii="Cambria" w:hAnsi="Cambria"/>
              </w:rPr>
            </w:pPr>
            <w:r w:rsidRPr="00541D21">
              <w:rPr>
                <w:rFonts w:ascii="Cambria" w:hAnsi="Cambria"/>
              </w:rPr>
              <w:t>Regiony na všech hierarchických úrovních s nejméně vyspělými ekonomikami, nejnižšími příjmy obyvatel, nejslabšími ekonomickými aktéry a s nejslabší politickou mocí. Tato oblast může ekonomicky prosperovat, zpravidla je však podřízena ekonomickému a politickému rozhodování jádra.</w:t>
            </w:r>
          </w:p>
        </w:tc>
      </w:tr>
      <w:tr w:rsidR="00541D21" w:rsidRPr="00541D21" w14:paraId="5280C6B1" w14:textId="77777777" w:rsidTr="00592AF8">
        <w:trPr>
          <w:trHeight w:val="1134"/>
          <w:jc w:val="center"/>
        </w:trPr>
        <w:tc>
          <w:tcPr>
            <w:tcW w:w="168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5A50BFF3" w14:textId="77777777" w:rsidR="00541D21" w:rsidRPr="00541D21" w:rsidRDefault="00541D21" w:rsidP="00592AF8">
            <w:pPr>
              <w:spacing w:after="0" w:line="240" w:lineRule="auto"/>
              <w:rPr>
                <w:rFonts w:ascii="Cambria" w:hAnsi="Cambria"/>
              </w:rPr>
            </w:pPr>
            <w:r w:rsidRPr="00541D21">
              <w:rPr>
                <w:rFonts w:ascii="Cambria" w:hAnsi="Cambria"/>
              </w:rPr>
              <w:t>nerovnoměrnost</w:t>
            </w:r>
          </w:p>
        </w:tc>
        <w:tc>
          <w:tcPr>
            <w:tcW w:w="7380" w:type="dxa"/>
            <w:tcBorders>
              <w:top w:val="nil"/>
              <w:left w:val="nil"/>
              <w:bottom w:val="single" w:sz="4" w:space="0" w:color="000000"/>
              <w:right w:val="single" w:sz="4" w:space="0" w:color="000000"/>
            </w:tcBorders>
            <w:tcMar>
              <w:top w:w="0" w:type="dxa"/>
              <w:left w:w="70" w:type="dxa"/>
              <w:bottom w:w="0" w:type="dxa"/>
              <w:right w:w="70" w:type="dxa"/>
            </w:tcMar>
            <w:vAlign w:val="center"/>
          </w:tcPr>
          <w:p w14:paraId="66E0A0AC" w14:textId="77777777" w:rsidR="00541D21" w:rsidRPr="00541D21" w:rsidRDefault="00541D21" w:rsidP="00592AF8">
            <w:pPr>
              <w:spacing w:after="0" w:line="240" w:lineRule="auto"/>
              <w:rPr>
                <w:rFonts w:ascii="Cambria" w:hAnsi="Cambria"/>
              </w:rPr>
            </w:pPr>
            <w:r w:rsidRPr="00541D21">
              <w:rPr>
                <w:rFonts w:ascii="Cambria" w:hAnsi="Cambria"/>
              </w:rPr>
              <w:t>Vyjadřuje statistické rozdíly převážně v ekonomických ukazatelích mezi státy, regiony nebo jednotlivci. Tento termín nezahrnuje ideové/morální hodnocení, ani důsledky těchto rozdílů.</w:t>
            </w:r>
          </w:p>
        </w:tc>
      </w:tr>
      <w:tr w:rsidR="00541D21" w:rsidRPr="00541D21" w14:paraId="09B17676" w14:textId="77777777" w:rsidTr="00592AF8">
        <w:trPr>
          <w:trHeight w:val="1134"/>
          <w:jc w:val="center"/>
        </w:trPr>
        <w:tc>
          <w:tcPr>
            <w:tcW w:w="168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315356D5" w14:textId="77777777" w:rsidR="00541D21" w:rsidRPr="00541D21" w:rsidRDefault="00541D21" w:rsidP="00592AF8">
            <w:pPr>
              <w:spacing w:after="0" w:line="240" w:lineRule="auto"/>
              <w:rPr>
                <w:rFonts w:ascii="Cambria" w:hAnsi="Cambria"/>
              </w:rPr>
            </w:pPr>
            <w:r w:rsidRPr="00541D21">
              <w:rPr>
                <w:rFonts w:ascii="Cambria" w:hAnsi="Cambria"/>
              </w:rPr>
              <w:t>nerovnost</w:t>
            </w:r>
          </w:p>
        </w:tc>
        <w:tc>
          <w:tcPr>
            <w:tcW w:w="7380" w:type="dxa"/>
            <w:tcBorders>
              <w:top w:val="nil"/>
              <w:left w:val="nil"/>
              <w:bottom w:val="single" w:sz="4" w:space="0" w:color="000000"/>
              <w:right w:val="single" w:sz="4" w:space="0" w:color="000000"/>
            </w:tcBorders>
            <w:tcMar>
              <w:top w:w="0" w:type="dxa"/>
              <w:left w:w="70" w:type="dxa"/>
              <w:bottom w:w="0" w:type="dxa"/>
              <w:right w:w="70" w:type="dxa"/>
            </w:tcMar>
            <w:vAlign w:val="center"/>
          </w:tcPr>
          <w:p w14:paraId="6536FDBF" w14:textId="77777777" w:rsidR="00541D21" w:rsidRPr="00541D21" w:rsidRDefault="00541D21" w:rsidP="00592AF8">
            <w:pPr>
              <w:spacing w:after="0" w:line="240" w:lineRule="auto"/>
              <w:rPr>
                <w:rFonts w:ascii="Cambria" w:hAnsi="Cambria"/>
              </w:rPr>
            </w:pPr>
            <w:r w:rsidRPr="00541D21">
              <w:rPr>
                <w:rFonts w:ascii="Cambria" w:hAnsi="Cambria"/>
              </w:rPr>
              <w:t>Vyjadřuje rozdíly převážně v ekonomických ukazatelích mezi státy, regiony nebo jednotlivci, které jsou z ideového/morálního hlediska hodnoceny jako negativní. Termín zahrnuje také důsledky těchto rozdílů, které se promítají do odlišné úrovně moci na různých úrovních rozhodování (např. evropské státy mají větší globální moc než africké státy).</w:t>
            </w:r>
          </w:p>
        </w:tc>
      </w:tr>
      <w:tr w:rsidR="00541D21" w:rsidRPr="00541D21" w14:paraId="43AC0D8E" w14:textId="77777777" w:rsidTr="00592AF8">
        <w:trPr>
          <w:trHeight w:val="1134"/>
          <w:jc w:val="center"/>
        </w:trPr>
        <w:tc>
          <w:tcPr>
            <w:tcW w:w="168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781A39D2" w14:textId="77777777" w:rsidR="00541D21" w:rsidRPr="00541D21" w:rsidRDefault="00541D21" w:rsidP="00592AF8">
            <w:pPr>
              <w:spacing w:after="0" w:line="240" w:lineRule="auto"/>
              <w:rPr>
                <w:rFonts w:ascii="Cambria" w:hAnsi="Cambria"/>
              </w:rPr>
            </w:pPr>
            <w:r w:rsidRPr="00541D21">
              <w:rPr>
                <w:rFonts w:ascii="Cambria" w:hAnsi="Cambria"/>
              </w:rPr>
              <w:t>konvergence</w:t>
            </w:r>
          </w:p>
        </w:tc>
        <w:tc>
          <w:tcPr>
            <w:tcW w:w="7380" w:type="dxa"/>
            <w:tcBorders>
              <w:top w:val="nil"/>
              <w:left w:val="nil"/>
              <w:bottom w:val="single" w:sz="4" w:space="0" w:color="000000"/>
              <w:right w:val="single" w:sz="4" w:space="0" w:color="000000"/>
            </w:tcBorders>
            <w:tcMar>
              <w:top w:w="0" w:type="dxa"/>
              <w:left w:w="70" w:type="dxa"/>
              <w:bottom w:w="0" w:type="dxa"/>
              <w:right w:w="70" w:type="dxa"/>
            </w:tcMar>
            <w:vAlign w:val="center"/>
          </w:tcPr>
          <w:p w14:paraId="21292CE5" w14:textId="77777777" w:rsidR="00541D21" w:rsidRPr="00541D21" w:rsidRDefault="00541D21" w:rsidP="00592AF8">
            <w:pPr>
              <w:spacing w:after="0" w:line="240" w:lineRule="auto"/>
              <w:rPr>
                <w:rFonts w:ascii="Cambria" w:hAnsi="Cambria"/>
              </w:rPr>
            </w:pPr>
            <w:r w:rsidRPr="00541D21">
              <w:rPr>
                <w:rFonts w:ascii="Cambria" w:hAnsi="Cambria"/>
              </w:rPr>
              <w:t>Snižování rozdílů ve vymezené skupině států či regionů (například států EU nebo regionů Česka).</w:t>
            </w:r>
          </w:p>
        </w:tc>
      </w:tr>
      <w:tr w:rsidR="00541D21" w:rsidRPr="00541D21" w14:paraId="5145B9D1" w14:textId="77777777" w:rsidTr="00592AF8">
        <w:trPr>
          <w:trHeight w:val="1134"/>
          <w:jc w:val="center"/>
        </w:trPr>
        <w:tc>
          <w:tcPr>
            <w:tcW w:w="168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3A90DB8D" w14:textId="77777777" w:rsidR="00541D21" w:rsidRPr="00541D21" w:rsidRDefault="00541D21" w:rsidP="00592AF8">
            <w:pPr>
              <w:spacing w:after="0" w:line="240" w:lineRule="auto"/>
              <w:rPr>
                <w:rFonts w:ascii="Cambria" w:hAnsi="Cambria"/>
              </w:rPr>
            </w:pPr>
            <w:r w:rsidRPr="00541D21">
              <w:rPr>
                <w:rFonts w:ascii="Cambria" w:hAnsi="Cambria"/>
              </w:rPr>
              <w:t>divergence</w:t>
            </w:r>
          </w:p>
        </w:tc>
        <w:tc>
          <w:tcPr>
            <w:tcW w:w="7380" w:type="dxa"/>
            <w:tcBorders>
              <w:top w:val="nil"/>
              <w:left w:val="nil"/>
              <w:bottom w:val="single" w:sz="4" w:space="0" w:color="000000"/>
              <w:right w:val="single" w:sz="4" w:space="0" w:color="000000"/>
            </w:tcBorders>
            <w:tcMar>
              <w:top w:w="0" w:type="dxa"/>
              <w:left w:w="70" w:type="dxa"/>
              <w:bottom w:w="0" w:type="dxa"/>
              <w:right w:w="70" w:type="dxa"/>
            </w:tcMar>
            <w:vAlign w:val="center"/>
          </w:tcPr>
          <w:p w14:paraId="62437754" w14:textId="77777777" w:rsidR="00541D21" w:rsidRPr="00541D21" w:rsidRDefault="00541D21" w:rsidP="00592AF8">
            <w:pPr>
              <w:spacing w:after="0" w:line="240" w:lineRule="auto"/>
              <w:rPr>
                <w:rFonts w:ascii="Cambria" w:hAnsi="Cambria"/>
              </w:rPr>
            </w:pPr>
            <w:r w:rsidRPr="00541D21">
              <w:rPr>
                <w:rFonts w:ascii="Cambria" w:hAnsi="Cambria"/>
              </w:rPr>
              <w:t>Zvyšování rozdílů ve vymezené skupině států či regionů (například států EU nebo regionů Česka).</w:t>
            </w:r>
          </w:p>
        </w:tc>
      </w:tr>
      <w:tr w:rsidR="00541D21" w:rsidRPr="00541D21" w14:paraId="56F223A9" w14:textId="77777777" w:rsidTr="00592AF8">
        <w:trPr>
          <w:trHeight w:val="1134"/>
          <w:jc w:val="center"/>
        </w:trPr>
        <w:tc>
          <w:tcPr>
            <w:tcW w:w="168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7AF65AC4" w14:textId="77777777" w:rsidR="00541D21" w:rsidRPr="00541D21" w:rsidRDefault="00541D21" w:rsidP="00592AF8">
            <w:pPr>
              <w:spacing w:after="0" w:line="240" w:lineRule="auto"/>
              <w:rPr>
                <w:rFonts w:ascii="Cambria" w:hAnsi="Cambria"/>
              </w:rPr>
            </w:pPr>
            <w:r w:rsidRPr="00541D21">
              <w:rPr>
                <w:rFonts w:ascii="Cambria" w:hAnsi="Cambria"/>
              </w:rPr>
              <w:t>hrubý domácí produkt (HDP)</w:t>
            </w:r>
          </w:p>
        </w:tc>
        <w:tc>
          <w:tcPr>
            <w:tcW w:w="7380" w:type="dxa"/>
            <w:tcBorders>
              <w:top w:val="nil"/>
              <w:left w:val="nil"/>
              <w:bottom w:val="single" w:sz="4" w:space="0" w:color="000000"/>
              <w:right w:val="single" w:sz="4" w:space="0" w:color="000000"/>
            </w:tcBorders>
            <w:tcMar>
              <w:top w:w="0" w:type="dxa"/>
              <w:left w:w="70" w:type="dxa"/>
              <w:bottom w:w="0" w:type="dxa"/>
              <w:right w:w="70" w:type="dxa"/>
            </w:tcMar>
            <w:vAlign w:val="center"/>
          </w:tcPr>
          <w:p w14:paraId="58051B38" w14:textId="77777777" w:rsidR="00541D21" w:rsidRPr="00541D21" w:rsidRDefault="00541D21" w:rsidP="00592AF8">
            <w:pPr>
              <w:spacing w:after="0" w:line="240" w:lineRule="auto"/>
              <w:rPr>
                <w:rFonts w:ascii="Cambria" w:hAnsi="Cambria"/>
              </w:rPr>
            </w:pPr>
            <w:r w:rsidRPr="00541D21">
              <w:rPr>
                <w:rFonts w:ascii="Cambria" w:hAnsi="Cambria"/>
              </w:rPr>
              <w:t>Často užívaný ukazatel míry ekonomického rozvoje, který však nezahrnuje výdaje na obnovu opotřebeného kapitálu a mezistátní či meziregionální toky kapitálu.</w:t>
            </w:r>
          </w:p>
        </w:tc>
      </w:tr>
    </w:tbl>
    <w:p w14:paraId="224EEEF3" w14:textId="3FDB554C" w:rsidR="00541D21" w:rsidRDefault="00541D21" w:rsidP="00541D21">
      <w:pPr>
        <w:jc w:val="center"/>
        <w:rPr>
          <w:rFonts w:ascii="Cambria" w:hAnsi="Cambria"/>
          <w:b/>
        </w:rPr>
      </w:pPr>
    </w:p>
    <w:p w14:paraId="5C64274A" w14:textId="09442431" w:rsidR="00541D21" w:rsidRDefault="00541D21" w:rsidP="00541D21">
      <w:pPr>
        <w:jc w:val="center"/>
        <w:rPr>
          <w:rFonts w:ascii="Cambria" w:hAnsi="Cambria"/>
          <w:b/>
        </w:rPr>
      </w:pPr>
    </w:p>
    <w:p w14:paraId="162D2B45" w14:textId="5DE1A3C5" w:rsidR="00541D21" w:rsidRDefault="00541D21" w:rsidP="00541D21">
      <w:pPr>
        <w:jc w:val="center"/>
        <w:rPr>
          <w:rFonts w:ascii="Cambria" w:hAnsi="Cambria"/>
          <w:b/>
        </w:rPr>
      </w:pPr>
    </w:p>
    <w:p w14:paraId="3454B521" w14:textId="30B5706E" w:rsidR="00541D21" w:rsidRDefault="00541D21" w:rsidP="00541D21">
      <w:pPr>
        <w:jc w:val="center"/>
        <w:rPr>
          <w:rFonts w:ascii="Cambria" w:hAnsi="Cambria"/>
          <w:b/>
        </w:rPr>
      </w:pPr>
    </w:p>
    <w:p w14:paraId="3BA703B4" w14:textId="1145DEC5" w:rsidR="00541D21" w:rsidRDefault="00541D21" w:rsidP="00541D21">
      <w:pPr>
        <w:jc w:val="center"/>
        <w:rPr>
          <w:rFonts w:ascii="Cambria" w:hAnsi="Cambria"/>
          <w:b/>
        </w:rPr>
      </w:pPr>
    </w:p>
    <w:p w14:paraId="407FDEE5" w14:textId="77777777" w:rsidR="00541D21" w:rsidRPr="00541D21" w:rsidRDefault="00541D21" w:rsidP="00541D21">
      <w:pPr>
        <w:jc w:val="center"/>
        <w:rPr>
          <w:rFonts w:ascii="Cambria" w:hAnsi="Cambria"/>
          <w:b/>
        </w:rPr>
      </w:pPr>
    </w:p>
    <w:p w14:paraId="4931B0FA" w14:textId="77777777" w:rsidR="00541D21" w:rsidRPr="00541D21" w:rsidRDefault="00541D21" w:rsidP="00541D21">
      <w:pPr>
        <w:jc w:val="center"/>
        <w:rPr>
          <w:rFonts w:ascii="Cambria" w:hAnsi="Cambria"/>
          <w:b/>
        </w:rPr>
      </w:pPr>
      <w:r w:rsidRPr="00541D21">
        <w:rPr>
          <w:rFonts w:ascii="Cambria" w:hAnsi="Cambria"/>
          <w:b/>
        </w:rPr>
        <w:lastRenderedPageBreak/>
        <w:t>Pokročilá sada</w:t>
      </w:r>
    </w:p>
    <w:tbl>
      <w:tblPr>
        <w:tblW w:w="9060" w:type="dxa"/>
        <w:jc w:val="center"/>
        <w:tblLayout w:type="fixed"/>
        <w:tblLook w:val="0400" w:firstRow="0" w:lastRow="0" w:firstColumn="0" w:lastColumn="0" w:noHBand="0" w:noVBand="1"/>
      </w:tblPr>
      <w:tblGrid>
        <w:gridCol w:w="1680"/>
        <w:gridCol w:w="7380"/>
      </w:tblGrid>
      <w:tr w:rsidR="00541D21" w:rsidRPr="00541D21" w14:paraId="59E91573" w14:textId="77777777" w:rsidTr="00592AF8">
        <w:trPr>
          <w:trHeight w:val="1134"/>
          <w:jc w:val="center"/>
        </w:trPr>
        <w:tc>
          <w:tcPr>
            <w:tcW w:w="1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5F325A" w14:textId="77777777" w:rsidR="00541D21" w:rsidRPr="00541D21" w:rsidRDefault="00541D21" w:rsidP="00592AF8">
            <w:pPr>
              <w:spacing w:after="0" w:line="240" w:lineRule="auto"/>
              <w:rPr>
                <w:rFonts w:ascii="Cambria" w:hAnsi="Cambria"/>
              </w:rPr>
            </w:pPr>
            <w:r w:rsidRPr="00541D21">
              <w:rPr>
                <w:rFonts w:ascii="Cambria" w:hAnsi="Cambria"/>
              </w:rPr>
              <w:t>evropská politika soudržnosti</w:t>
            </w:r>
          </w:p>
        </w:tc>
        <w:tc>
          <w:tcPr>
            <w:tcW w:w="738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tcPr>
          <w:p w14:paraId="691B5DC4" w14:textId="77777777" w:rsidR="00541D21" w:rsidRPr="00541D21" w:rsidRDefault="00541D21" w:rsidP="00592AF8">
            <w:pPr>
              <w:spacing w:after="0" w:line="240" w:lineRule="auto"/>
              <w:rPr>
                <w:rFonts w:ascii="Cambria" w:hAnsi="Cambria"/>
              </w:rPr>
            </w:pPr>
            <w:r w:rsidRPr="00541D21">
              <w:rPr>
                <w:rFonts w:ascii="Cambria" w:hAnsi="Cambria"/>
              </w:rPr>
              <w:t>Politika realizovaná prostřednictvím evropských strukturálních fondů (jednodušeji dotací Evropské unie), jejímž cílem je přerozdělováním snižovat rozdíly členských států Evropské unie.</w:t>
            </w:r>
          </w:p>
        </w:tc>
      </w:tr>
      <w:tr w:rsidR="00541D21" w:rsidRPr="00541D21" w14:paraId="2A990255" w14:textId="77777777" w:rsidTr="00592AF8">
        <w:trPr>
          <w:trHeight w:val="1134"/>
          <w:jc w:val="center"/>
        </w:trPr>
        <w:tc>
          <w:tcPr>
            <w:tcW w:w="1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E8B02C" w14:textId="77777777" w:rsidR="00541D21" w:rsidRPr="00541D21" w:rsidRDefault="00541D21" w:rsidP="00592AF8">
            <w:pPr>
              <w:spacing w:after="0" w:line="240" w:lineRule="auto"/>
              <w:rPr>
                <w:rFonts w:ascii="Cambria" w:hAnsi="Cambria"/>
              </w:rPr>
            </w:pPr>
            <w:r w:rsidRPr="00541D21">
              <w:rPr>
                <w:rFonts w:ascii="Cambria" w:hAnsi="Cambria"/>
              </w:rPr>
              <w:t>regionální drenáž</w:t>
            </w:r>
          </w:p>
        </w:tc>
        <w:tc>
          <w:tcPr>
            <w:tcW w:w="738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tcPr>
          <w:p w14:paraId="42BB6831" w14:textId="77777777" w:rsidR="00541D21" w:rsidRPr="00541D21" w:rsidRDefault="00541D21" w:rsidP="00592AF8">
            <w:pPr>
              <w:spacing w:after="0" w:line="240" w:lineRule="auto"/>
              <w:rPr>
                <w:rFonts w:ascii="Cambria" w:hAnsi="Cambria"/>
              </w:rPr>
            </w:pPr>
            <w:r w:rsidRPr="00541D21">
              <w:rPr>
                <w:rFonts w:ascii="Cambria" w:hAnsi="Cambria"/>
              </w:rPr>
              <w:t>Odčerpávání finančních prostředků z periferie do centra prostřednictvím převádění zisků, pro které nemá firma v periferním regionu využití. Dochází tak k prohlubování rozdílů prostřednictvím podpory růstu jádrových regionů a ztížení přístupu periferií k investování do svého rozvoje.</w:t>
            </w:r>
          </w:p>
        </w:tc>
      </w:tr>
      <w:tr w:rsidR="00541D21" w:rsidRPr="00541D21" w14:paraId="1EF29354" w14:textId="77777777" w:rsidTr="00592AF8">
        <w:trPr>
          <w:trHeight w:val="1134"/>
          <w:jc w:val="center"/>
        </w:trPr>
        <w:tc>
          <w:tcPr>
            <w:tcW w:w="1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FB4B3F" w14:textId="77777777" w:rsidR="00541D21" w:rsidRPr="00541D21" w:rsidRDefault="00541D21" w:rsidP="00592AF8">
            <w:pPr>
              <w:spacing w:after="0" w:line="240" w:lineRule="auto"/>
              <w:rPr>
                <w:rFonts w:ascii="Cambria" w:hAnsi="Cambria"/>
              </w:rPr>
            </w:pPr>
            <w:r w:rsidRPr="00541D21">
              <w:rPr>
                <w:rFonts w:ascii="Cambria" w:hAnsi="Cambria"/>
              </w:rPr>
              <w:t>světový systém</w:t>
            </w:r>
          </w:p>
        </w:tc>
        <w:tc>
          <w:tcPr>
            <w:tcW w:w="738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tcPr>
          <w:p w14:paraId="25829DF5" w14:textId="77777777" w:rsidR="00541D21" w:rsidRPr="00541D21" w:rsidRDefault="00541D21" w:rsidP="00592AF8">
            <w:pPr>
              <w:spacing w:after="0" w:line="240" w:lineRule="auto"/>
              <w:rPr>
                <w:rFonts w:ascii="Cambria" w:hAnsi="Cambria"/>
              </w:rPr>
            </w:pPr>
            <w:r w:rsidRPr="00541D21">
              <w:rPr>
                <w:rFonts w:ascii="Cambria" w:hAnsi="Cambria"/>
              </w:rPr>
              <w:t xml:space="preserve">Koncept Immanuela </w:t>
            </w:r>
            <w:proofErr w:type="spellStart"/>
            <w:r w:rsidRPr="00541D21">
              <w:rPr>
                <w:rFonts w:ascii="Cambria" w:hAnsi="Cambria"/>
              </w:rPr>
              <w:t>Wallersteina</w:t>
            </w:r>
            <w:proofErr w:type="spellEnd"/>
            <w:r w:rsidRPr="00541D21">
              <w:rPr>
                <w:rFonts w:ascii="Cambria" w:hAnsi="Cambria"/>
              </w:rPr>
              <w:t xml:space="preserve">, který pracuje s pojmy jádro, </w:t>
            </w:r>
            <w:proofErr w:type="spellStart"/>
            <w:r w:rsidRPr="00541D21">
              <w:rPr>
                <w:rFonts w:ascii="Cambria" w:hAnsi="Cambria"/>
              </w:rPr>
              <w:t>semiperiferie</w:t>
            </w:r>
            <w:proofErr w:type="spellEnd"/>
            <w:r w:rsidRPr="00541D21">
              <w:rPr>
                <w:rFonts w:ascii="Cambria" w:hAnsi="Cambria"/>
              </w:rPr>
              <w:t xml:space="preserve"> a periferie, vysvětluje jejich vznik a zabývá se jejich ekonomickým a mocenským vztahem.</w:t>
            </w:r>
          </w:p>
        </w:tc>
      </w:tr>
      <w:tr w:rsidR="00541D21" w:rsidRPr="00541D21" w14:paraId="4733BB2E" w14:textId="77777777" w:rsidTr="00592AF8">
        <w:trPr>
          <w:trHeight w:val="1134"/>
          <w:jc w:val="center"/>
        </w:trPr>
        <w:tc>
          <w:tcPr>
            <w:tcW w:w="1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0AB064" w14:textId="77777777" w:rsidR="00541D21" w:rsidRPr="00541D21" w:rsidRDefault="00541D21" w:rsidP="00592AF8">
            <w:pPr>
              <w:spacing w:after="0" w:line="240" w:lineRule="auto"/>
              <w:rPr>
                <w:rFonts w:ascii="Cambria" w:hAnsi="Cambria"/>
              </w:rPr>
            </w:pPr>
            <w:r w:rsidRPr="00541D21">
              <w:rPr>
                <w:rFonts w:ascii="Cambria" w:hAnsi="Cambria"/>
              </w:rPr>
              <w:t>vnější periferie</w:t>
            </w:r>
          </w:p>
        </w:tc>
        <w:tc>
          <w:tcPr>
            <w:tcW w:w="738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tcPr>
          <w:p w14:paraId="441DD2FB" w14:textId="77777777" w:rsidR="00541D21" w:rsidRPr="00541D21" w:rsidRDefault="00541D21" w:rsidP="00592AF8">
            <w:pPr>
              <w:spacing w:after="0" w:line="240" w:lineRule="auto"/>
              <w:rPr>
                <w:rFonts w:ascii="Cambria" w:hAnsi="Cambria"/>
              </w:rPr>
            </w:pPr>
            <w:r w:rsidRPr="00541D21">
              <w:rPr>
                <w:rFonts w:ascii="Cambria" w:hAnsi="Cambria"/>
              </w:rPr>
              <w:t>Označení oblasti ležící na hranicích státu, daleko od všech center a omezené státní hranicí, která vytváří bariéru v komunikaci. Tyto oblasti se potýkají s ekonomickými problémy, nedostatkem pracovních míst i s odchodem mladých lidí. Typickým příkladem je Jesenicko.</w:t>
            </w:r>
          </w:p>
        </w:tc>
      </w:tr>
      <w:tr w:rsidR="00541D21" w:rsidRPr="00541D21" w14:paraId="07AE40E8" w14:textId="77777777" w:rsidTr="00592AF8">
        <w:trPr>
          <w:trHeight w:val="1134"/>
          <w:jc w:val="center"/>
        </w:trPr>
        <w:tc>
          <w:tcPr>
            <w:tcW w:w="1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A09EF1" w14:textId="77777777" w:rsidR="00541D21" w:rsidRPr="00541D21" w:rsidRDefault="00541D21" w:rsidP="00592AF8">
            <w:pPr>
              <w:spacing w:after="0" w:line="240" w:lineRule="auto"/>
              <w:rPr>
                <w:rFonts w:ascii="Cambria" w:hAnsi="Cambria"/>
              </w:rPr>
            </w:pPr>
            <w:r w:rsidRPr="00541D21">
              <w:rPr>
                <w:rFonts w:ascii="Cambria" w:hAnsi="Cambria"/>
              </w:rPr>
              <w:t>vnitřní periferie</w:t>
            </w:r>
          </w:p>
        </w:tc>
        <w:tc>
          <w:tcPr>
            <w:tcW w:w="738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tcPr>
          <w:p w14:paraId="7AFE451C" w14:textId="77777777" w:rsidR="00541D21" w:rsidRPr="00541D21" w:rsidRDefault="00541D21" w:rsidP="00592AF8">
            <w:pPr>
              <w:spacing w:after="0" w:line="240" w:lineRule="auto"/>
              <w:rPr>
                <w:rFonts w:ascii="Cambria" w:hAnsi="Cambria"/>
              </w:rPr>
            </w:pPr>
            <w:r w:rsidRPr="00541D21">
              <w:rPr>
                <w:rFonts w:ascii="Cambria" w:hAnsi="Cambria"/>
              </w:rPr>
              <w:t>Oblasti na hranicích krajů vzdálené od krajských měst, která jsou v kontextu krajů největšími ekonomickými, kulturními a institucionálními centry. Tyto oblasti se potýkají s ekonomickými problémy, nedostatkem pracovních míst i s odchodem mladých lidí. Příkladem jsou jižní hranice Středočeského kraje.</w:t>
            </w:r>
          </w:p>
        </w:tc>
      </w:tr>
      <w:tr w:rsidR="00541D21" w:rsidRPr="00541D21" w14:paraId="190E0991" w14:textId="77777777" w:rsidTr="00592AF8">
        <w:trPr>
          <w:trHeight w:val="1134"/>
          <w:jc w:val="center"/>
        </w:trPr>
        <w:tc>
          <w:tcPr>
            <w:tcW w:w="1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FCAFF7" w14:textId="77777777" w:rsidR="00541D21" w:rsidRPr="00541D21" w:rsidRDefault="00541D21" w:rsidP="00592AF8">
            <w:pPr>
              <w:spacing w:after="0" w:line="240" w:lineRule="auto"/>
              <w:rPr>
                <w:rFonts w:ascii="Cambria" w:hAnsi="Cambria"/>
              </w:rPr>
            </w:pPr>
            <w:r w:rsidRPr="00541D21">
              <w:rPr>
                <w:rFonts w:ascii="Cambria" w:hAnsi="Cambria"/>
              </w:rPr>
              <w:t>strukturálně postižené regiony</w:t>
            </w:r>
          </w:p>
        </w:tc>
        <w:tc>
          <w:tcPr>
            <w:tcW w:w="738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tcPr>
          <w:p w14:paraId="72F76C98" w14:textId="77777777" w:rsidR="00541D21" w:rsidRPr="00541D21" w:rsidRDefault="00541D21" w:rsidP="00592AF8">
            <w:pPr>
              <w:spacing w:after="0" w:line="240" w:lineRule="auto"/>
              <w:rPr>
                <w:rFonts w:ascii="Cambria" w:hAnsi="Cambria"/>
              </w:rPr>
            </w:pPr>
            <w:r w:rsidRPr="00541D21">
              <w:rPr>
                <w:rFonts w:ascii="Cambria" w:hAnsi="Cambria"/>
              </w:rPr>
              <w:t>Regiony, které byly dříve centry těžebního, zpracovatelského a chemického průmyslu. Ukončení činnosti mnoha zdejších závodů vedlo k omezení ekonomického růstu, nárůstu nezaměstnanosti a k nízké atraktivitě pro další život či podnikání.</w:t>
            </w:r>
          </w:p>
        </w:tc>
      </w:tr>
      <w:tr w:rsidR="00541D21" w:rsidRPr="00541D21" w14:paraId="24DBC73B" w14:textId="77777777" w:rsidTr="00592AF8">
        <w:trPr>
          <w:trHeight w:val="1134"/>
          <w:jc w:val="center"/>
        </w:trPr>
        <w:tc>
          <w:tcPr>
            <w:tcW w:w="1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91CD60" w14:textId="77777777" w:rsidR="00541D21" w:rsidRPr="00541D21" w:rsidRDefault="00541D21" w:rsidP="00592AF8">
            <w:pPr>
              <w:spacing w:after="0" w:line="240" w:lineRule="auto"/>
              <w:rPr>
                <w:rFonts w:ascii="Cambria" w:hAnsi="Cambria"/>
              </w:rPr>
            </w:pPr>
            <w:r w:rsidRPr="00541D21">
              <w:rPr>
                <w:rFonts w:ascii="Cambria" w:hAnsi="Cambria"/>
              </w:rPr>
              <w:t>daňové ráje</w:t>
            </w:r>
          </w:p>
        </w:tc>
        <w:tc>
          <w:tcPr>
            <w:tcW w:w="738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tcPr>
          <w:p w14:paraId="5680C393" w14:textId="77777777" w:rsidR="00541D21" w:rsidRPr="00541D21" w:rsidRDefault="00541D21" w:rsidP="00592AF8">
            <w:pPr>
              <w:spacing w:after="0" w:line="240" w:lineRule="auto"/>
              <w:rPr>
                <w:rFonts w:ascii="Cambria" w:hAnsi="Cambria"/>
              </w:rPr>
            </w:pPr>
            <w:r w:rsidRPr="00541D21">
              <w:rPr>
                <w:rFonts w:ascii="Cambria" w:hAnsi="Cambria"/>
              </w:rPr>
              <w:t>Země nacházející se nejčastěji v globální periferii, nezřídka ale také v globálním jádře, ve kterých jsou mimořádně daňově zvýhodněny zahraniční firmy. Tyto země tak těží z daňových úniků ze zisků globálního jádra a ekonomicky velmi prosperují.</w:t>
            </w:r>
          </w:p>
        </w:tc>
      </w:tr>
    </w:tbl>
    <w:p w14:paraId="258DF7BB" w14:textId="77777777" w:rsidR="00541D21" w:rsidRDefault="00541D21">
      <w:pPr>
        <w:rPr>
          <w:rFonts w:ascii="Cambria" w:hAnsi="Cambria"/>
          <w:i/>
          <w:iCs/>
        </w:rPr>
      </w:pPr>
    </w:p>
    <w:sectPr w:rsidR="00541D2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34C8" w14:textId="77777777" w:rsidR="00CC6132" w:rsidRDefault="00CC6132" w:rsidP="000D5BF2">
      <w:pPr>
        <w:spacing w:after="0" w:line="240" w:lineRule="auto"/>
      </w:pPr>
      <w:r>
        <w:separator/>
      </w:r>
    </w:p>
  </w:endnote>
  <w:endnote w:type="continuationSeparator" w:id="0">
    <w:p w14:paraId="33162360" w14:textId="77777777" w:rsidR="00CC6132" w:rsidRDefault="00CC6132" w:rsidP="000D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0283" w14:textId="21193857" w:rsidR="00D750DD" w:rsidRPr="007A516B" w:rsidRDefault="00D750DD" w:rsidP="00D750DD">
    <w:pPr>
      <w:rPr>
        <w:rFonts w:ascii="Cambria" w:hAnsi="Cambria"/>
        <w:i/>
        <w:iCs/>
        <w:sz w:val="18"/>
        <w:szCs w:val="18"/>
      </w:rPr>
    </w:pPr>
    <w:r w:rsidRPr="007A516B">
      <w:rPr>
        <w:rFonts w:ascii="Cambria" w:hAnsi="Cambria"/>
        <w:i/>
        <w:iCs/>
        <w:sz w:val="18"/>
        <w:szCs w:val="18"/>
      </w:rPr>
      <w:t xml:space="preserve">Financováno z projektu TAČR „Aplikace poznatků současného výzkumu politické geografie ve výuce geografie a sociálně-vědních předmětů na středních školách“ (TL02000195). Více informací na </w:t>
    </w:r>
    <w:r w:rsidRPr="007A516B">
      <w:rPr>
        <w:rFonts w:ascii="Cambria" w:hAnsi="Cambria"/>
        <w:b/>
        <w:bCs/>
        <w:i/>
        <w:iCs/>
        <w:sz w:val="18"/>
        <w:szCs w:val="18"/>
      </w:rPr>
      <w:t>regpol.natur.cuni.cz</w:t>
    </w:r>
    <w:r w:rsidRPr="007A516B">
      <w:rPr>
        <w:rFonts w:ascii="Cambria" w:hAnsi="Cambria"/>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4CFE" w14:textId="77777777" w:rsidR="00CC6132" w:rsidRDefault="00CC6132" w:rsidP="000D5BF2">
      <w:pPr>
        <w:spacing w:after="0" w:line="240" w:lineRule="auto"/>
      </w:pPr>
      <w:r>
        <w:separator/>
      </w:r>
    </w:p>
  </w:footnote>
  <w:footnote w:type="continuationSeparator" w:id="0">
    <w:p w14:paraId="634D3237" w14:textId="77777777" w:rsidR="00CC6132" w:rsidRDefault="00CC6132" w:rsidP="000D5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E15D" w14:textId="56B1FA2D" w:rsidR="000D5BF2" w:rsidRDefault="00D750DD">
    <w:pPr>
      <w:pStyle w:val="Zhlav"/>
    </w:pPr>
    <w:r>
      <w:rPr>
        <w:noProof/>
      </w:rPr>
      <w:drawing>
        <wp:anchor distT="0" distB="0" distL="114300" distR="114300" simplePos="0" relativeHeight="251660288" behindDoc="0" locked="0" layoutInCell="1" allowOverlap="1" wp14:anchorId="07DFC047" wp14:editId="62CEDD50">
          <wp:simplePos x="0" y="0"/>
          <wp:positionH relativeFrom="margin">
            <wp:posOffset>5162550</wp:posOffset>
          </wp:positionH>
          <wp:positionV relativeFrom="paragraph">
            <wp:posOffset>-276860</wp:posOffset>
          </wp:positionV>
          <wp:extent cx="472440" cy="472440"/>
          <wp:effectExtent l="0" t="0" r="3810" b="381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BF2">
      <w:rPr>
        <w:noProof/>
      </w:rPr>
      <w:drawing>
        <wp:anchor distT="0" distB="0" distL="114300" distR="114300" simplePos="0" relativeHeight="251659264" behindDoc="0" locked="0" layoutInCell="1" allowOverlap="1" wp14:anchorId="6D133DB4" wp14:editId="059CE567">
          <wp:simplePos x="0" y="0"/>
          <wp:positionH relativeFrom="margin">
            <wp:posOffset>2598420</wp:posOffset>
          </wp:positionH>
          <wp:positionV relativeFrom="paragraph">
            <wp:posOffset>-449580</wp:posOffset>
          </wp:positionV>
          <wp:extent cx="1889760" cy="900094"/>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900094"/>
                  </a:xfrm>
                  <a:prstGeom prst="rect">
                    <a:avLst/>
                  </a:prstGeom>
                  <a:noFill/>
                  <a:ln>
                    <a:noFill/>
                  </a:ln>
                </pic:spPr>
              </pic:pic>
            </a:graphicData>
          </a:graphic>
        </wp:anchor>
      </w:drawing>
    </w:r>
    <w:r w:rsidR="000D5BF2">
      <w:rPr>
        <w:noProof/>
      </w:rPr>
      <w:drawing>
        <wp:anchor distT="0" distB="0" distL="114300" distR="114300" simplePos="0" relativeHeight="251658240" behindDoc="0" locked="0" layoutInCell="1" allowOverlap="1" wp14:anchorId="5AB69828" wp14:editId="11F1F41C">
          <wp:simplePos x="0" y="0"/>
          <wp:positionH relativeFrom="margin">
            <wp:posOffset>-635</wp:posOffset>
          </wp:positionH>
          <wp:positionV relativeFrom="paragraph">
            <wp:posOffset>-289560</wp:posOffset>
          </wp:positionV>
          <wp:extent cx="1958340" cy="515620"/>
          <wp:effectExtent l="0" t="0" r="381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8340" cy="5156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FF"/>
    <w:rsid w:val="0001349E"/>
    <w:rsid w:val="000D5BF2"/>
    <w:rsid w:val="001632C9"/>
    <w:rsid w:val="001E4C4B"/>
    <w:rsid w:val="003504FE"/>
    <w:rsid w:val="00397BE9"/>
    <w:rsid w:val="003C7BBF"/>
    <w:rsid w:val="0040747F"/>
    <w:rsid w:val="004B2740"/>
    <w:rsid w:val="004E77D6"/>
    <w:rsid w:val="00541D21"/>
    <w:rsid w:val="00633F77"/>
    <w:rsid w:val="007A516B"/>
    <w:rsid w:val="007C7BA8"/>
    <w:rsid w:val="007E34BC"/>
    <w:rsid w:val="00820DD7"/>
    <w:rsid w:val="00840D5B"/>
    <w:rsid w:val="008511E1"/>
    <w:rsid w:val="009C728F"/>
    <w:rsid w:val="00A111C0"/>
    <w:rsid w:val="00A633C0"/>
    <w:rsid w:val="00A857FC"/>
    <w:rsid w:val="00A967FF"/>
    <w:rsid w:val="00AB0D2B"/>
    <w:rsid w:val="00B24978"/>
    <w:rsid w:val="00B569A0"/>
    <w:rsid w:val="00BC1B57"/>
    <w:rsid w:val="00C5171C"/>
    <w:rsid w:val="00C95DCE"/>
    <w:rsid w:val="00CC3AB4"/>
    <w:rsid w:val="00CC6132"/>
    <w:rsid w:val="00D750DD"/>
    <w:rsid w:val="00E60827"/>
    <w:rsid w:val="00F5503F"/>
    <w:rsid w:val="00FF3B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E8E81"/>
  <w15:chartTrackingRefBased/>
  <w15:docId w15:val="{85243274-7B58-4774-BC8F-9A1E9DE6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11E1"/>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D5BF2"/>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hlavChar">
    <w:name w:val="Záhlaví Char"/>
    <w:basedOn w:val="Standardnpsmoodstavce"/>
    <w:link w:val="Zhlav"/>
    <w:uiPriority w:val="99"/>
    <w:rsid w:val="000D5BF2"/>
  </w:style>
  <w:style w:type="paragraph" w:styleId="Zpat">
    <w:name w:val="footer"/>
    <w:basedOn w:val="Normln"/>
    <w:link w:val="ZpatChar"/>
    <w:uiPriority w:val="99"/>
    <w:unhideWhenUsed/>
    <w:rsid w:val="000D5BF2"/>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0D5BF2"/>
  </w:style>
  <w:style w:type="table" w:styleId="Mkatabulky">
    <w:name w:val="Table Grid"/>
    <w:basedOn w:val="Normlntabulka"/>
    <w:uiPriority w:val="39"/>
    <w:rsid w:val="00B5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C7BBF"/>
    <w:rPr>
      <w:color w:val="0563C1" w:themeColor="hyperlink"/>
      <w:u w:val="single"/>
    </w:rPr>
  </w:style>
  <w:style w:type="character" w:styleId="Nevyeenzmnka">
    <w:name w:val="Unresolved Mention"/>
    <w:basedOn w:val="Standardnpsmoodstavce"/>
    <w:uiPriority w:val="99"/>
    <w:semiHidden/>
    <w:unhideWhenUsed/>
    <w:rsid w:val="003C7BBF"/>
    <w:rPr>
      <w:color w:val="605E5C"/>
      <w:shd w:val="clear" w:color="auto" w:fill="E1DFDD"/>
    </w:rPr>
  </w:style>
  <w:style w:type="paragraph" w:styleId="Odstavecseseznamem">
    <w:name w:val="List Paragraph"/>
    <w:basedOn w:val="Normln"/>
    <w:uiPriority w:val="34"/>
    <w:qFormat/>
    <w:rsid w:val="00B24978"/>
    <w:pPr>
      <w:ind w:left="720"/>
      <w:contextualSpacing/>
    </w:pPr>
    <w:rPr>
      <w:rFonts w:asciiTheme="minorHAnsi" w:eastAsiaTheme="minorHAnsi" w:hAnsiTheme="minorHAnsi" w:cstheme="minorBidi"/>
      <w:lang w:eastAsia="en-US"/>
    </w:rPr>
  </w:style>
  <w:style w:type="character" w:styleId="Sledovanodkaz">
    <w:name w:val="FollowedHyperlink"/>
    <w:basedOn w:val="Standardnpsmoodstavce"/>
    <w:uiPriority w:val="99"/>
    <w:semiHidden/>
    <w:unhideWhenUsed/>
    <w:rsid w:val="00FF3B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3538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rec1</cp:lastModifiedBy>
  <cp:revision>3</cp:revision>
  <cp:lastPrinted>2021-10-19T14:33:00Z</cp:lastPrinted>
  <dcterms:created xsi:type="dcterms:W3CDTF">2021-10-19T13:20:00Z</dcterms:created>
  <dcterms:modified xsi:type="dcterms:W3CDTF">2021-10-19T14:34:00Z</dcterms:modified>
</cp:coreProperties>
</file>